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Афанасьевой Елены Александровны на нарушение ее конституционных прав пунктом 21 статьи 52, а также пунктами 8 и 81 статьи 408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Е.А.Афанасьевой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Е.А.Афанасьева оспаривает конституционность следующих положений Налогового кодекса Российской Федерации: пункта 21 статьи 52, определяющего правила перерасчета сумм ранее исчисленных налогов; пункта 8 статьи 408, устанавливающего механизм исчисления суммы налога на имущество физических лиц за первые три налоговых периода с начала применения порядка определения налоговой базы исходя из кадастровой стоимости объекта налогообложения; 2 пункта 81 статьи 408, определяющего подлежащую уплате сумму налога в случае, если сумма налога, исчисленная в соответствии с данной статьей исходя из кадастровой стоимости объекта налогообложения (без учета положений пунктов 4, 5, 6 данной статьи), превышает сумму налога, исчисленную исходя из кадастровой стоимости в отношении этого объекта налогообложения (без учета положений пунктов 4, 5, 6 данной статьи) за предыдущий налоговый период с учетом коэффициента 1,1. Как следует из представленных материалов, вступившими в законную силу судебными актами судов общей юрисдикции заявительнице отказано в признании незаконным налогового уведомления налогового органа в части начисления налога на имущество физических лиц. При этом суды, исходя из фактических обстоятельств дела заявительницы, пришли к выводу, что подлежащая уплате сумма налога определена верно, в том числе с учетом суммы ранее уплаченного налога на имущество физических лиц. По мнению Е.А.Афанасьевой, оспариваемые нормативные положения противоречат статьям 1 (часть 1), 4 (часть 2), 15 (части 1 и 2), 17, 19 (части 1 и 2), 46 (части 1 и 2), 49, 50, 52, 54 и 55 (часть 3) Конституции Российской Федерации, поскольку при исчислении подлежащей уплате суммы налога позволяют налоговому органу произвольно учитывать сумму налога, уплаченного ранее, в частности не принимая во внимание произведенный самим налоговым органом перерасчет налога за предыдущие налоговые периоды.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своих решениях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Афанасьевой Елены Александровны, поскольку она не отвечает требованиям Федерального конституционного закона «О Конституционном Суде 5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