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Малунцевой Юлии Дмитриевны на нарушение ее конституционных прав пунктами 9 и 11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Ю.Д.Малунцевой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 установлена сумма, подлежащая взысканию с ряда граждан, привлеченных к субсидиарной ответственности, в том числе с Ю.Д.Малунцевой. При этом с учетом установленных по делу фактических обстоятельств суды пришли к выводу об отсутствии оснований для снижения размера ответственности Ю.Д.Малунцевой. 2 Ю.Д.Малунцева оспаривает конституционность пунктов 9 и 11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2, 7, 38 (часть 1) и 671 (часть 4) Конституции Российской Федерации в той части, в которой они по своему буквальному содержанию не позволяют судам их применять для целей снижения размера субсидиарной ответственности номинального руководителя организации-должника в деле о банкротстве и не учитывают, имеется ли реальная возможность взыскания денежных средств с лица, не получавшего серьезной экономической выгоды от деятельности формально возглавляемой им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Малунцевой Юлии Дмитриевны,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