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Маканова Дмитрия Васильевича на нарушение его конституционных прав статьями 8, 11, 12 и 304 Гражданского кодекса Российской Федерации, подпунктом 4 пункта 2 статьи 60 Земельного кодекса Российской Федерации и частью 3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Д.В.Маканова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Д.В.Маканов оспаривает конституционность статей 8 «Основания возникновения гражданских прав и обязанностей», 11 «Судебная защита гражданских прав», 12 «Способы защиты гражданских прав» и 304 «Защита прав собственника от нарушений, не связанных с лишением владения» ГК Российской Федерации, подпункта 4 пункта 2 статьи 60 «Восстановление положения, существовавшего до нарушения права на земельный участок, и пресечение действий, нарушающих право на земельный участок или создающих угрозу его нарушения» Земельного кодекса Российской Федерации, части 3 статьи 61 «Порядок исправления 2 ошибок, содержащихся в Едином государственном реестре недвижимости» Федерального закона от 13 июля 2015 года № 218-ФЗ «О государственной регистрации недвижимости».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уполномоченного государственного органа (собственник земельного участка) к Д.В.Маканову и еще одному лицу (собственники прилегающих земельных участков) об исправлении реестровой ошибки, внесении изменений в государственный кадастр недвижимости. Суд, в частности, установил, что несоответствие местоположения, конфигурации, размеров и значений координат поворотных точек границ спорных земельных участков сторон сведениям, содержащимся в ЕГРН, свидетельствует о наличии реестровой ошибки. По мнению заявителя, оспариваемые положения противоречат Конституции Российской Федерации, ее статьям 35 (части 1–3), 45 (часть 1), 46 (часть 1) и 123 (часть 3), в той мере, в какой позволяют суду на их основании под видом защиты и восстановления прав одного лица (при отсутствии самого факта нарушения прав) незаконно и безосновательно ущемлять права других лиц, в том числе посредством иска об исправлении реестровой ошибки и в отсутствие иска по спору о материальном праве произвольно увеличивать и уменьшать площади земельных участков, фактически лишать собственника значительной части земельного участка, право на который зарегистрировано за ним в ЕГРН и никем не оспорено, увеличивать площадь земельного участка промышленного назначения за счет площади земельного участка сельскохозяйственного назначения вопреки документам об основаниях возникновения права собственности и с нарушением, помимо прочего, принципа целевого использования земель.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Маканова Дмитрия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