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846710-П/2025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преступлений, предусмотренных статьей 159 «Мошенничество» УК Российской Федерации, оспаривает конституционность данной статьи. По мнению заявительницы, оспариваемая норма не соответствует статьям 2, 17 (части 1 и 3), 18, 19 (части 1 и 2), 45, 49 и 55 (часть 3) Конституции Российской Федерации в той мере, в какой она: допускает назначение разных наказаний за сходные деяния, совершенные организованной группой в одном и том же размере, что нарушает принцип равенства и требование недопущения дискриминации; не содержит четких критериев и понятия мошенничества, совершенного в сфере предпринимательской деятельности, что позволяет правоприменителю произвольно толковать норму.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Уголовная ответственность может считаться законно установленной лишь при условии, что она соразмерна характеру и степени общественной опасности криминализованного деяния. Требованиями справедливости и адекватности предопределена дифференциация ответственности в зависимости от тяжести содеянного, размера и характера причиненного ущерба, степени вины правонарушителя и других существенных обстоятельств, обусловливающих индивидуализацию при применении мер государственного принуждения (постановления Конституционного Суда Российской Федерации от 17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