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Степаняна Арсена Самвеловича на нарушение его конституционных прав частями первой, второй и третьей статьи 108 и частью первой статьи 171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гражданина А.С.Степаняна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А.С.Степаняну, обвиняемому в совершении тяжкого преступления, предусмотренного частью четвертой статьи 159 «Мошенничество» УК Российской Федерации, с учетом нахождения его в межгосударственном розыске заочно избрана мера пресечения в виде заключения под стражу. Заявитель просит признать части первую, вторую и третью статьи 108 «Заключение под стражу» и часть первую статьи 171 «Порядок привлечения в качестве обвиняемого» УПК Российской Федерации не соответствующими статьям 22, 47, 49, 50 и 54 Конституции Российской Федерации в той мере, в 2 какой они допускают привлечение в качестве обвиняемого и избрание меры пресечения в виде заключения под стражу в связи с преступлением, о котором уголовное дело не возбуждалось.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По смыслу правовых позиций, высказанных в постановлениях Конституционного Суда Российской Федерации от 23 марта 1999 года № 5- П, от 14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Степаняна Арсена Самвеловича,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