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Присяжного Сергея Юрьевича на нарушение его конституционных прав статьей 6 Федерального конституционного закона «О Конституционном Суде Российской Федерации», статьей 3, частью 1 статьи 6, частями 2 и 4 статьи 19 Федерального конституционного закона «О судебной системе Российской Федерации», частями 2 и 3 статьи 2 Федерального конституционного закона «О Верховном Суде Российской Федерации»,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С.Ю.Присяжного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С.Ю.Присяжный оспаривает конституционность статьи 6 «Обязательность решений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Федерации», статьи 3 «Единство судебной системы», части 1 статьи 6 «Обязательность судебных постановлений», частей 2 и 4 статьи 19 «Верховный Суд Российской 2 Федерации» Федерального конституционного закона от 31 декабря 1996 года № 1-ФКЗ «О судебной системе Российской Федерации», частей 2 и 3 статьи 2 «Полномочия Верховного Суда Российской Федерации» Федерального конституционного закона от 5 февраля 2014 года № 3-ФКЗ «О Верховном Суде Российской Федерации», а также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Определением суда общей юрисдикции отказано в удовлетворении заявления С.Ю.Присяжного о пересмотре по новым обстоятельствам вступившего в законную силу решения суда по гражданскому делу с его участием. Суд указал, что вынесение Конституционным Судом Российской Федерации Определения от 30 мая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конституционного закона «О Конституционном Суде Российской Федерации», Федерального конституционного закона «О судебной системе Российской Федерации», Федерального конституционного закона «О Верховном Суде Российской Федерации» и пункт 3 части четвертой статьи 392 ГПК Российской Федерации не содержат каких-либо положений, позволяющих правоприменителю не учитывать при применении законодательных норм их конституционно-правовое истолкование, выраженное в сохраняющих силу решениях Конституционного Суда Российской Федерации и обеспечивающее защиту конституционных прав граждан. Вместе с тем Определение Конституционного Суда Российской Федерации от 30 мая 2023 года № 1172- О, на которое С.Ю.Присяжный ссылался как на новое обстоятельство, являвшееся, по его мнению, основанием для пересмотра принятого по конкретному делу судебного постановления, не содержит конституционно- правового истолкования каких-либо норм и посвящено исключительно вопросу о соответствии жалобы заявителя критериям подведомственности и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Присяжного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