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Нагибиной Юлии Михайловны на нарушение ее конституционных прав пунктами 3 и 27 Порядка предоставления государственным гражданским служащим Челябинской области единовременной субсидии на приобретение жилого помещения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Ю.М.Нагибиной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Ю.М.Нагибина оспаривает конституционность следующих положений Порядка предоставления государственным гражданским служащим Челябинской области единовременной субсидии на приобретение жилого помещения (утвержден постановлением Правительства Челябинской области от 17 сентября 2009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предусматривая, что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(статья 40, часть 3), и относя социальную защиту и жилищное законодательство к совместному ведению Российской Федерации и ее субъектов (статья 72, пункты «ж», «к» части 1), вместе с тем не устанавливает конкретных способов и объема такой защиты, предоставляемой тем или иным категориям граждан. Разрешение этих вопросов относится к компетенции федерального и регионального законодателей, Правительства Российской Федерации и высшего исполнительного органа субъекта Российской Федерации, которые с учетом финансовых возможностей и бюджетных средств определяют социально значимые условия для предоставления жилищных гарантий. Как следует из судебных постановлений, суды апелляционной и кассационной инстанций, признавая отсутствие в пункте 3 Порядка положений, предусматривающих преимущественное право на получение субсидии для гражданских служащих, замещающих должности категорий «руководители» и «помощники (советники)» высшей группы должностей, пришли к выводу, что имевшее место единичное нарушение очередности при распределении бюджетных средств не повлияло на права заявительницы, которая на дату своего увольнения со службы не была первой в списке гражданских служащих для получения субсидии. 4 Исходя из этого пункт 3 Порядка, не регламентирующий какие-либо вопросы первоочередного предоставления данного вида жилищной гарантии, сам по себе не может расцениваться в качестве нарушающего конституционные права в аспекте, указанном заявительницей. Что же касается содержащегося в пункте 27 Порядка требования о формировании сводного списка гражданских служащих, которым предоставляется субсидия, то оно обеспечивает единый учет таких граждан вне зависимости от государственного органа, в котором они проходят службу. Применение же других положений данного пункта (касающихся распределения выделенных бюджетных средств с учетом штатной численности государственных органов) представленными судебными постановлениями не подтверждается. Соответственно, этот пункт также не нарушает конституционных прав заявительницы. Установление же и оценка фактических обстоятельств конкретного дела, разрешение вопроса об установлении иных условий реализации жилищных гарантий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Нагибиной Юлии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