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3506-О/2024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Харченко Ольги Леонидовны на нарушение ее конституционных прав положением части 11 статьи 30 Федерального закона «О страховых пенсиях»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О.Л.Харченко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О.Л.Харченко в своей жалобе, подписанной ее представителем – адвокатом Л.И.Сикач, оспаривает конституционность положения части 11 статьи 30 Федерального закона от 28 декабря 2013 года № 400-ФЗ «О страховых пенсиях», согласно которому страховая пенсия по старости лицам, имеющим право на ее получение независимо от возраста в соответствии с пунктами 19–21 части 1 данной статьи, назначается не ранее сроков, указанных в приложении 7 к этому Федеральному закону. По мнению заявительницы, оспариваемое законоположение, примененное в ее деле судами общей юрисдикции, не соответствует статьям 2 15 (часть 1), 45 (часть 1), 46 (часть 1) и 52 Конституции Российской Федерации, поскольку предоставляет судам полномочия отказывать в назначении досрочной страховой пенсии со дня обращения и возникновения права на указанную пенсию.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Конституции Российской Федерации в Российской Федерации как социальном государстве, политика которого направлена на создание условий, обеспечивающих достойную жизнь и свободное развитие человека, охраняется труд и здоровье людей, каждому гарантируется социальное обеспечение по возрасту, в случае болезни, инвалидности, потери кормильца, для воспитания детей и в иных случаях, установленных законом (статья 7; статья 37, часть 3; статья 39, часть 1). Определяя в законе правовые основания назначения пенсий, их размеры, порядок исчисления и выплаты, законодатель вправе устанавливать, а также изменять как общие условия назначения пенсий, так и особенности приобретения права на пенсию, включая – для некоторых категорий граждан – льготные условия назначения страховой пенсии по старости в зависимости от ряда объективно значимых обстоятельств, характеризующих, в частности, трудовую деятельность (специфика условий труда и профессии и т.д.). При этом изменение законодателем ранее установленных условий пенсионного обеспечения, оказывающее неблагоприятное воздействие на правовое положение граждан в указанной сфере, должно осуществляться таким образом, чтобы соблюдался принцип поддержания доверия граждан к закону и действиям государства. Данный принцип предполагает сохранение разумной стабильности правового регулирования и недопустимость внесения произвольных изменений в действующую систему норм, а также предоставление гражданам в случае необходимости возможности – в частности, посредством установления временного регулирования – в течение некоторого переходного периода 3 адаптироваться к вносимым изменениям (постановления Конституционного Суда Российской Федерации от 24 мая 2001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Харченко Ольги Леонидовны,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