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Миронова Олега Александровича и Торбан Светланы Евгеньевны на нарушение их конституционных прав частью 2 статьи 23.1, пунктом 3 части 1 и частью 3 статьи 30.1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 О.А.Миронова и С.Е.Торбан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О.А.Миронов и С.Е.Торбан оспаривают конституционность части 2 статьи 23.1 «Судьи», пункта 3 части 1 и части 3 статьи 30.1 «Право на обжалование постановления по делу об административном правонарушении» КоАП Российской Федерации. Как следует из представленных материалов, определениями судей районных судов общей юрисдикции переданы по подведомственности в арбитражный суд жалобы заявителей на определение уполномоченного должностного лица об отказе в возбуждении в отношении управляющей компании дела об административном правонарушении, предусмотренном 2 частью 2 статьи 14.13 «Осуществление предпринимательской деятельности по управлению многоквартирными домами без лицензии» КоАП Российской Федерации, и на решение вышестоящего должностного лица, вынесенное по результатам рассмотрения их жалобы на указанное определение. По мнению заявителей, оспариваемые законоположения не соответствуют статьям 19 (часть 1), 46 (части 1 и 2) и 47 (часть 1) Конституции Российской Федерации, поскольку не позволяют однозначно определить суд, к компетенции которого относится рассмотрение жалобы на определение об отказе в возбуждении дела об административном правонарушении, предусмотренном частью 2 статьи 14.13 КоАП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47 (часть 1) Конституции Российской Федерации никто не может быть лишен права на рассмотрение его дела в том суде и тем судьей, к подсудности которых оно отнесено законом. По смыслу приведенного конституционного предписания подсудность дел определяется законом, в котором должны быть закреплены критерии, в нормативной форме предопределяющие, в каком суде подлежит рассмотрению то или иное дело, что позволило бы суду, сторонам и другим участникам процесса избежать неопределенности в этом вопросе. При этом,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Миронова Олега Александровича и Торбан Светланы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