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Сергиенко Владимира Ивановича на нарушение его конституционных прав положениями пункта 2 части 2 статьи 125 и части 1 статьи 130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В.И.Сергиенко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В.И.Сергиенко оспаривает конституционность пункта 2 части 2 статьи 125 «Форма и содержание административного искового заявления» и части 1 статьи 130 «Оставление административного искового заявления без движения» КАС Российской Федерации. Как следует из представленных материалов, определением суда общей юрисдикции оставлено без движения административное исковое заявление В.И.Сергиенко, поскольку в нем не были указаны сведения о месте жительства или месте пребывания заявителя на территории 2 Российской Федерации, информация о номере телефона, факса, адресе электронной почты. При этом суд отметил, что указание В.И.Сергиенко в административном исковом заявлении адреса места его проживания в иностранном государстве не свидетельствует о соблюдении им положений пункта 2 части 2 статьи 125 КАС Российской Федерации, поскольку отправление судебной корреспонденции по указанному адресу в настоящее время невозможно, а контактного номера телефона, факса либо адреса электронной почты заявитель не представил; указание заявителем почтового адреса суда и адреса электронной почты суда в качестве своих контактных данных также не удовлетворяет установленным требованиям. В.И.Сергиенко было предложено указать адрес места временного пребывания или регистрации на территории Российской Федерации, телефонный номер или номер факса либо адрес электронной почты, позволяющие суду уведомлять его и направлять ему почтовую корреспонденцию. Вышестоящие суды оставили данное определение без изменения, отметив, что утверждения В.И.Сергиенко об остутствии у него номера телефона, факса или адреса электронной почты не соответствуют действительности, поскольку при рассмотрении иных административных и гражданских дел по многочисленным искам заявителя было установлено, что, подавая неоднократно заявления в государственные органы, он указывает в них и свой контактный номер телефона, и адрес электронной почты. По мнению заявителя, оспариваемые законоположения не соответствуют статьям 19, 46, 55 (часть 3) Конституции Российской Федерации, поскольку позволяют суду оставлять без движения административное исковое заявление, в котором указано место жительства административного истца на территории иностранного государства и почтовый адрес на территории Российской Федерации для направления судебной корреспонденции, по которому административный истец не проживает (не пребывает), и при этом не указано место пребывания административного истца на территории Российской Федерации, по 3 которому он не имеет возможности получать судебную корреспонденцию, а также оставлять без движения административное исковое заявление, в котором не указаны как согласие административного истца на получение судебных извещений и вызовов по электронной почте и по телефону, так и номер телефона и адрес электронной почты.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Сергиенко Владимира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