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Таболина Сергея Владимировича на нарушение его конституционных прав частями первой и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С.В.Таболина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С.В.Таболин, привлеченный к уголовной ответственности, просит признать не соответствующими статьям 2, 8, 15, 17, 18, 23, 34, 35 (части 1 и 2), 45, 46 (части 1 и 2) и 47 Конституции Российской Федерации части первую и четвертую статьи 159 «Мошенничество» УК Российской Федерации. По мнению заявителя, оспариваемые положения позволяют привлекать к уголовной ответственности невиновное лицо, заключившее правомерную гражданско-правовую сделку, а также обратившееся в суд в целях защиты своих интересов, в частности для получения задолженности по займу с 2 поручителя, притом что представленные в суд документы являются подлинными.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Таболина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