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«Издательский дом Арт Волхонка» на нарушение его конституционных прав пунктом 4 статьи 1281 Гражданского кодекса Российской Федерации и статьей 6 Федерального закона «О введении в действие части четвертой Гражданского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«Издательский дом Арт Волхонка»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«Издательский дом Арт Волхонка» (далее также – ООО «ИД Арт Волхонка») оспаривает конституционность следующих норм: пункта 4 статьи 1281 ГК Российской Федерации, предусматривающего, что, если автор произведения был репрессирован и посмертно реабилитирован, срок действия исключительного права считается продленным и семьдесят лет исчисляются с 1 января года, следующего за годом реабилитации автора произведения; статьи 6 Федерального закона от 18 декабря 2006 года № 231-ФЗ «О введении в действие части четвертой Гражданского кодекса Российской 2 Федерации», закрепляющей, в частности, что сроки охраны прав, предусмотренные статьями 1281, 1318, 1327 и 1331 ГК Российской Федерации, применяются в случаях, когда пятидесятилетний срок действия авторского права или смежных прав не истек к 1 января 1993 года (часть первая). Из представленных материалов следует, что решением арбитражного суда, оставленным без изменения постановлением суда апелляционной инстанции, с ответчиков, включая ООО «ИД Арт Волхонка», солидарно в пользу лицензиата взыскана компенсация за нарушение исключительных прав на литературные произведения. Суд первой инстанции указал, что автор произведений был репрессирован и посмертно реабилитирован и что исключительные права, срок действия которых исчисляется с 1 января года, следующего за годом реабилитации автора, не прекратились. В передаче кассационной жалобы на названные судебные акты и постановление Суда по интеллектуальным правам,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нормы противоречат статьям 1 (часть 1), 4 (часть 2), 15 (части 1 и 2), 17 (часть 1), 18, 19 (части 1 и 2), 34 (часть 1), 35 (части 1–3), 44 (часть 2), 45 (часть 1), 46 (часть 1) и 55 (часть 3) Конституции Российской Федерации, поскольку по смыслу, придаваемому им правоприменительной практикой, они допускают противоположное толкование одной нормы об исчислении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1281 ГК Российской Федерации обеспечивает защиту интересов правообладателей в случае, если автор произведения был репрессирован и посмертно реабилитирован, и гарантирует поддержание доверия граждан к закону с учетом того, что ранее особый порядок исчисления срока охраны авторских прав в такой ситуации был закреплен в 3 пункте 5 статьи 27 Закона Российской Федерации от 9 июля 1993 года № 5351-I «Об авторском праве и смежных правах». Так, названная норма предусматривала, что если автор был репрессирован и реабилитирован посмертно, то срок охраны прав, предусмотренный названной статьей, начинал действовать с 1 января года, следующего за годом реабилитации. Первоначально эта статья закрепляла пятидесятилетний срок, после внесения изменений Федеральным законом от 20 июля 2004 года № 72-ФЗ – семидесятилетний. При этом пункт 3 постановления Верховного Совета Российской Федерации от 9 июля 1993 года № 5352-I «О порядке введения в действие Закона Российской Федерации «Об авторском праве и смежных правах» оговаривал, что предусмотренный статьей 27 Закона Российской Федерации «Об авторском праве и смежных правах» срок применялся во всех случаях, когда пятидесятилетний срок действия авторского права или смежных прав не истек к 1 января 1993 года. Сроки же, предусмотренные Федеральным законом от 20 июля 2004 года № 72-ФЗ, применялись во всех случаях, если пятидесятилетний срок действия авторского права не истек на день вступления в силу данного Федерального закона (пункт 3 его статьи 2). Упомянутые акты утратили силу с 1 января 2008 года в связи с принятием Федерального закона от 18 декабря 2006 года № 231-ФЗ, которым была введена в действие часть четвертая Гражданского кодекса Российской Федерации. Соответственно, пункт 4 статьи 1281 ГК Российской Федерации, а равно и посвященная, среди прочего, случаям применения закрепленного этим пунктом срока статья 6 Федерального закона «О введении в действие части четвертой Гражданского кодекса Российской Федерации» не могут – в том числе с учетом ранее действовавшего правового регулирования в истолковании, придаваемом ему правоприменительной практикой, в частности в свете пункта 34 постановления Пленума Верховного Суда Российской Федерации от 19 июня 2006 года № 15 «О вопросах, возникших у судов при рассмотрении гражданских дел, связанных с 4 применением законодательства об авторском праве и смежных правах», – расцениваться в качестве нарушающих в обозначенном в жалобе аспекте конституционные права заявителя.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«Издательский дом Арт Волхонка»,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