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3136-О/2025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Микурова Михаила Александровича на нарушение его конституционных прав частью четвертой статьи 153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М.А.Микурова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М.А.Микуров оспаривает конституционность части четвертой статьи 153 Трудового кодекса Российской Федерации, согласно которой по желанию работника, работавшего в выходной или нерабочий праздничный день, ему может быть предоставлен другой день отдыха; в этом случае работа в выходной или нерабочий праздничный день оплачивается в одинарном размере, а день отдыха оплате не подлежит. Как следует из материалов жалобы, заявитель обратился в суд с иском к бывшему работодателю, в котором, в частности, просил признать факты привлечения к сверхурочной работе и работе в выходные и нерабочие 2 праздничные дни и взыскать не выплаченную при увольнении компенсацию за непредоставленные в связи с такой работой дни отдыха. В удовлетворении данных требований М.А.Микурову было отказано в том числе в связи с тем, что заявитель в период работы не обращался к работодателю с заявлением о предоставлении ему времени отдыха за работу сверхурочно и в выходные и нерабочие праздничные дни (напротив, просил такую работу оплатить), а подал заявление о предоставлении дней отдыха только непосредственно перед увольнением. Несоответствие оспариваемого законоположения статьям 37 (части 3 и 5) и 55 (часть 3) Конституции Российской Федерации заявитель усматривает в том, что оно по смыслу, придаваемому правоприменительной практикой, позволяет работодателю не оплачивать работнику при увольнении работу в выходные и нерабочие праздничные дни в случае отсутствия между ними соглашения о предоставлении работнику дней отдыха за работу в такие дни.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Трудовым кодексом Российской Федерации работа в выходные и нерабочие праздничные дни относится к работе в условиях, отклоняющихся от нормальных (статья 149). В связи с этим установленное данным Кодексом правовое регулирование оплаты труда в выходные и нерабочие праздничные дни обеспечивает каждому работнику оплату за работу в выходной или нерабочий праздничный день в повышенном размере (части первая – третья статьи 153) и тем самым призвано компенсировать отрицательные последствия отклонения условий его работы от нормальных, а также гарантировать эффективное осуществление им права на справедливую заработную плату, что отвечает целям трудового законодательства и согласуется с основными направлениями государственной политики в области охраны труда, одним из которых является приоритет сохранения жизни и здоровья работников 3 (статьи 1 и 2, часть первая статьи 210 Трудового кодекса Российской Федерации) (Постановление Конституционного Суда Российской Федерации от 28 июня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Микурова Михаила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