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Зуба Данила Викторовича на нарушение его конституционных прав статьями 30.13 и 30.16 Кодекса Российской Федерации об административных правонарушениях, а также статьями 4 и 8 Федерального закона «О мировых судьях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Д.В.Зуба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Д.В.Зуб оспаривает конституционность статей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и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а также статей 4 «Судебные участки» и 8 «Прекращение, приостановление полномочий мирового судьи 2 и замещение временно отсутствующего мирового судьи» Федерального закона от 17 декабря 1998 года № 188-ФЗ «О мировых судьях в Российской Федерации». Как следует из представленных материалов, постановлением мирового судьи, оставленным без изменения вышестоящими судами, Д.В.Зуб признан виновным в совершении административного правонарушения, предусмотренного частью 1 статьи 12.26 «Невыполнение водителем транспортного средства требования о прохождении медицинского освидетельствования на состояние опьянения» КоАП Российской Федерации. Повторная жалоба заявителя была возвращена судьей Верховного Суда Российской Федерации. Заявитель полагает, что дело об административном правонарушении было рассмотрено с нарушением правил подсудности ввиду отсутствия постановления председателя районного суда о возложении исполнения обязанностей мирового судьи, ушедшего в отставку, на мирового судью другого судебного участка того же судебного района. Исходя из этого, он просит признать оспариваемые законоположения не соответствующими ряду статей Конституции Российской Федерации, поскольку они позволяют, по его мнению, произвольно определять подсудность дела об административном правонарушении и не допускают – после вынесения постановления судьи Верховного Суда Российской Федерации – возможности дальнейшего обжалования.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мировых судьях в Российской Федерации», закрепляя порядок осуществления деятельности мировых судей, процедуру прекращения их полномочий, предусматривает, что председатель районного суда в целях обеспечения равномерности нагрузки на мировых судей в случае, если нагрузка на мирового судью превышает среднюю нагрузку на мирового судью по судебному району, вправе мотивированным распоряжением передать часть дел об административных правонарушениях, поступивших к мировому судье одного судебного участка, мировому судье другого судебного участка того же судебного района (пункт 6 статьи 4); при прекращении полномочий мирового судьи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суда (пункт 3 статьи 8). Будучи направленными на обеспечение осуществления мировыми судьями деятельности по отправлению правосудия и тем самым реализацию каждым права на судебную защиту, оспариваемые положения данного Федерального закона сами по себе не могут расцениваться как нарушающие конституционные права заявителя в указанном им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Зуба Данила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