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С. на нарушение ее конституционных прав пунктом 1 статьи 61 и пунктом 3 статьи 65 Семейного кодекса Российской Федерации во взаимосвязи с принципом 6 Декларации прав ребенка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С., в деле с участием которой суды, сославшись на имевшуюся в материалах этого дела медицинскую документацию, указали, что исключительные обстоятельства препятствуют определению места жительства несовершеннолетнего сына заявительницы с нею и определили место жительства ребенка с отцом, оспаривает конституционность пункта 1 статьи 61 «Равенство прав и обязанностей родителей» и пункта 3 статьи 65 «Осуществление родительских прав» Семейного кодекса Российской Федерации во взаимосвязи с положением принципа 6 Декларации прав ребенка (принята 20 ноября 1959 года Резолюцией 1386 (XIV) на 841-м пленарном заседании Генеральной Ассамблеи ООН), в соответствии с которым малолетнего ребенка нельзя разлучать с матерью, кроме тех случаев, когда для этого имеются исключительные обстоятельства. 2 По мнению заявительницы, оспариваемые положения Семейного кодекса Российской Федерации во взаимосвязи с упомянутым положением принципа 6 Декларации прав ребенка противоречат статьям 38 (часть 2) и 46 (часть 1) Конституции Российской Федерации, поскольку они не устанавливают критериев наличия исключительных обстоятельств, позволяющих разлучить ребенка с матерью, и допускают произвольное установление судами таких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С., поскольку разрешение поставленного в ней вопроса не подведомственно Конституционному Суду Российской Федерации и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