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2633-О/2025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Караваева Сергея Владимировича на нарушение его конституционных прав пунктом 1 примечаний к статье 158, частями первой и четвертой статьи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С.В.Караваева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С.В.Караваев просит признать не соответствующими статьям 1 (часть 1), 2, 15 (часть 4), 17 (части 1 и 2), 18, 19, 21 (часть 1), 54 (часть 2) и 55 (части 2 и 3) Конституции Российской Федерации часть четвертую статьи 159 «Мошенничество» УК Российской Федерации в единстве с частью первой той же статьи и пунктом 1 примечаний к статье 158 «Кража» данного Кодекса. По мнению заявителя, оспариваемые нормы содержат неопределенность, которая допускает возможность их произвольного применения и привлечение к уголовной ответственности за мошенничество в форме приобретения права на чужое имущество при 2 неустановлении таких признаков хищения, как противоправность и безвозмездность, а также позволяет признавать обманом юридическую оценку, данную обвиняемым какому-либо действию как законному. Из представленных материалов следует, что С.В.Караваев приговором суда осужден за мошенничество в особо крупном размере, совершенное в составе группы лиц по предварительному сговору. Суд, в частности, установил, что С.В.Караваев и гражданин К., используя личный авторитет среди должностных лиц органа муниципальной власти, приобрели право собственности на земельный участок путем создания видимости наличия законных условий для его выкупа. Для этого они подали в органы власти документы, содержащие заведомо ложные сведения о завершении строительства объектов недвижимости (складского комплекса), что было обязательным условием приобретения права собственности на земельный участок, в отсутствие их фактического возведения в соответствии с проектной документацией.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159 УК Российской Федерации определяет мошенничество как хищение чужого имущества или приобретение права на чужое имущество путем обмана или злоупотребления доверием. При этом под хищением, согласно пункту 1 примечаний к статье 158 данного Кодекса, понимаются совершенные с корыстной целью противоправные безвозмездное изъятие и (или) обращение чужого имущества в пользу виновного или других лиц, причинившие ущерб собственнику или иному владельцу этого имущества. Нет оснований полагать, что приведенные нормы содержат неопределенность в части признаков преступления. Закрепленные в этих нормах общие признаки мошенничества и предусмотренные в частях второй – четвертой статьи 159 УК Российской Федерации квалифицирующие его признаки подлежат установлению во взаимосвязи с положениями Общей части данного Кодекса, в том числе определяющими принцип и формы вины, 3 основание уголовной ответственности (статьи 5, 8, 24 и 25) (определения Конституционного Суда Российской Федерации от 16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Караваева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