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Герасимова Павла Николаевича на нарушение его конституционных прав абзацем девятым пункта 2 статьи 1512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П.Н.Герасимова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П.Н.Герасимов оспаривает конституционность абзаца девятого пункта 2 статьи 1512 ГК Российской Федерации, предусматривающего, что положения подпунктов 1 и 2 данного пункта об оспаривании предоставления правовой охраны товарному знаку и признании недействительным предоставления ему правовой охраны применяются с учетом обстоятельств, сложившихся на дату подачи возражения (статья 1513). Из представленных материалов следует, что решением Суда по интеллектуальным правам (принято после направления дела на новое 2 рассмотрение в суд первой инстанции президиумом этого суда), оставленным без изменения постановлением президиума того же суда, по заявлению общества с ограниченной ответственностью, среди прочего, признано недействительным решение Роспатента об удовлетворении поданного в 2022 году возражения П.Н.Герасимова против предоставления правовой охраны товарному знаку как зарегистрированному в 2017 году за обществом с нарушением подпункта 2 пункта 6 статьи 1483 ГК Российской Федерации. Суд первой инстанции указал, что активное использование оспариваемого товарного знака привело к отсутствию вероятности его смешения с товарным знаком, зарегистрированным за П.Н.Герасимовым. Кроме того, суд отметил, что случаи смешения сравниваемых товарных знаков не доказаны. С учетом этого суд первой инстанции пришел к выводу об отсутствии оснований для признания предоставления правовой охраны недействительным, несмотря на определенную степень сходства товарных знаков и однородность товаров, в отношении которых они зарегистрированы. Президиум Суда по интеллектуальным правам подчеркнул, что пассивное поведение П.Н.Герасимова, способствовавшее сосуществованию товарных знаков, привело к отсутствию их смешения адресной группой потребителей. В передаче кассационной жалобы П.Н.Герасимова на акты судов первой и кассационной инстанций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абзац девятый пункта 2 статьи 1512 ГК Российской Федерации противоречит статьям 17 (часть 3), 35 (часть 1), 44 (часть 1), 45 и 55 (часть 3) Конституции Российской Федерации, поскольку по смыслу, придаваемому ему правоприменительной практикой, он позволяет суду рассматривать в качестве обстоятельства, исключающего признание предоставления правовой охраны товарному знаку (тождественному или сходному до степени смешения с иным товарным знаком) недействительным, наступившее в неопределенный 3 момент «привыкание» потребителя к оспариваемому товарному знаку, притом что содержание этого понятия законом не определено, и ограничивает оспаривание обладателем исключительного права на товарный знак предоставления правовой охраны такому товарному знаку в течение установленного законом пятилетнего срока.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девятый пункта 2 статьи 1512 ГК Российской Федерации по смыслу, придаваемому ему правоприменительной практикой, применяется для целей недопущения признания недействительным предоставления правовой охраны товарному знаку, не соответствовавшему условиям охраноспособности на момент его государственной регистрации в качестве товарного знака, но впоследствии начавшему отвечать условиям охраноспособности (пункт 173 постановления Пленума Верховного Суда Российской Федерации от 23 апреля 2019 года № 10 «О применении части четвертой Гражданского кодекса Российской Федерации»).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Герасимова Павла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