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Рохмистровой Елизаветы Владимировны на нарушение конституционных прав ее несовершеннолетней дочери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Е.В.Рохмистровой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Е.В.Рохмистрова, действующая в интересах своей несовершеннолетней дочери,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дочери заявительницы, которой установлена категория «ребенок-инвалид», в назначении после смерти отца страховой пенсии по случаю потери кормильца, ссылаясь на то, что она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Е.В.Рохмистровой,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Рохмистровой Елизаветы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