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«Компания Аратон» на нарушение его конституционных прав пунктом 3 статьи 1474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«Компания Аратон»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«Компания Аратон» (далее также – ООО «Компания Аратон») оспаривает конституционность пункта 3 статьи 1474 ГК Российской Федерации, предусматривающего, что не допускается использование юридическим лицом фирменного наименования, тождественного фирменному наименованию другого юридического лица или сходного с ним до степени смешения, если указанные юридические лица осуществляют аналогичную деятельность и фирменное наименование второго юридического лица было включено в 2 единый государственный реестр юридических лиц ранее, чем фирменное наименование первого юридического лица. Из представленных материалов следует, что решением арбитражного суда, оставленным без изменения постановлением суда апелляционной инстанции, отказано в удовлетворении иска ООО «Компания Аратон» о прекращении использования ответчиком фирменного наименования. Суды указали, что заявитель не доказал осуществления ответчиком деятельности, аналогичной той, которой занимается заявитель. Суд первой инстанции подчеркнул, что способы защиты исключительного права применяются в связи с конкретным нарушением, при этом не доказано нарушение ответчиком принадлежащего истцу исключительного права. Суд по интеллектуальным правам, оставляя названные судебные акты без изменения, отметил, что довод о злоупотреблении правом со стороны ответчика обоснованно отклонен судами. В передаче кассационной жалобы ООО «Компания Аратон» на акты судов нижестоящих инстанций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оспариваемое положение противоречит статьям 8, 15 (часть 2), 17 (часть 3) и 751 Конституции Российской Федерации, поскольку по смыслу, придаваемому ему правоприменительной практикой, оно не позволяет хозяйствующему субъекту защитить свое право на фирменное наименование от действий, связанных с государственной регистрацией юридического лица с единственной целью причинения вреда другому лицу.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1474 ГК Российской Федерации в системе действующего правового регулирования, в том числе установленного 3 иными нормами той же статьи, направлен на реализацию положений статей 8 (часть 1), 15 (часть 4), 17 (часть 3), 34 (часть 2), 44 (часть 1) и 55 (часть 3) Конституции Российской Федерации во взаимосвязи с пунктом 2 статьи 1 и статьей 10bis Парижской конвенции по охране промышленной собственности (определения Конституционного Суда Российской Федерации от 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«Компания Аратон»,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