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Часовенской Нины на нарушение ее конституционных прав статьями 1112 и 1183 Гражданского кодекса Российской Федерации, а также статьей 136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Н.Часовенской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Н.Часовенская оспаривает конституционность статей 1112 «Наследство» и 1183 «Наследование невыплаченных сумм, предоставленных гражданину в качестве средств к существованию» ГК Российской Федерации, а также статьи 136 «Порядок, место и сроки выплаты заработной платы» Трудового кодекса Российской Федерации. Как следует из представленных материалов, определением суда апелляционной инстанции, с которым согласились суды кассационной инстанции, Н.Часовенской отказано в удовлетворении заявления о замене истца (ее умершего сына) по делу об установлении факта трудовых отношений, о возложении обязанностей оформить трудовой договор, возвратить трудовую книжку, взыскании заработной платы, ряда компенсаций и судебных расходов. 2 Суд пришел к выводу, что спорное правоотношение не допускает правопреемства, поскольку предъявленные правопредшественником Н.Часовенской требования являются требованиями, неразрывно связанными с его личностью. По мнению заявительницы, оспариваемые нормы противоречат статьям 7, 19, 37 и 55 Конституции Российской Федерации, поскольку они исключают правопреемство по требованиям умершего работника о выплате неначисленной заработной платы, в том числе по делам, в которых предъявлены требования об установлении факта трудовых 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Часовенской Нины,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