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Испандиярова Вадима Кайдаровича на нарушение его конституционных прав статьями 131, 209 и 261 Гражданского кодекса Российской Федерации, статьей 40 Земельного кодекса Российской Федерации и пунктом 5 статьи 24 Федерального закона «Об особо охраняемых природных территориях»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В.К.Испандиярова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В.К.Испандияров оспаривает конституционность следующих законоположений: статей 131 «Государственная регистрация недвижимости», 209 «Содержание права собственности» и 261 «Земельный участок как объект права собственности» ГК Российской Федерации; статьи 40 «Права собственников земельных участков на использование земельных участков» Земельного кодекса Российской Федерации; пункта 5 статьи 24 Федерального закона от 14 марта 1995 года № 33-ФЗ «Об особо охраняемых природных территориях» об обязанности собственников, владельцев и пользователей земельных участков, расположенных в границах государственных природных заказников, 2 соблюдать установленный в государственных природных заказниках режим особой охраны и об ответственности за его нарушение.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уполномоченного государственного органа, направленные на возмещение В.К.Испандияровым ущерба, причиненного окружающей среде вследствие осуществления сплошной вырубки деревьев пород «дуб черешчатый» и «граб» (всего 35 штук) на принадлежащих ему земельных участках, расположенных в границах рекреационной зоны государственного природного комплексного заказника регионального значения и в водоохранной зоне Черного моря. Также на В.К.Испандиярова наложен ряд запретов, связанных с использованием этих участков. По мнению заявителя, обжалуемые законоположения противоречат Конституции Российской Федерации, в том числе ее статьям 2, 15 (часть 3), 18, 19 (часть 1), 35 (части 1–3), 36 и 40 (части 1 и 2), поскольку они, помимо прочего, позволяют расценивать действия собственника, осуществленные в рамках принадлежащих ему полномочий владения, пользования и распоряжения земельным участком, в качестве противоправных, влекущих для него финансовые санкции, не обеспечивают защиту права собственности, зарегистрированного в Едином государственном реестре недвижимости, от притязаний третьих лиц. Кроме того, жалоба содержит вопросы, не связанные с проверкой конституционности нормативных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судами в конкретном деле с участием заявителя статей 131, 209 и 261 ГК Российской Федерации, статьи 40 Земельного кодекса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Испандиярова Вадима Кайдаровича,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