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частью первой статьи 78 и частью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мошенничеств, оспаривает конституционность части первой статьи 78 «Освобождение от уголовной ответственности в связи с истечением сроков давности» и части четвертой статьи 159 «Мошенничество» УК Российской Федерации. По мнению заявительницы, оспариваемые нормы не соответствуют статьям 1 (часть 1), 2, 17 (части 1 и 3), 18, 19 (части 1 и 2), 21 (часть 1), 22 (часть 1), 45, 46 (часть 1), 49, 55 (часть 3) и 123 (часть 3) Конституции Российской Федерации в той мере, в какой они: допускают уголовное преследование за мошенничество, совершенное организованной группой, в течение десятилетнего срока давности независимо от реального размера (значительности) причиненного ущерба; 2 не предусматривают обязательную оценку реального вреда и степени общественной опасности деяния при установлении срока давности уголовного преследования; не допускают прекращения уголовного дела в связи с малозначительностью деяния, что нарушает баланс между публичными интересами и правами личности.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