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Группа Компаний «Промресурс» на нарушение его конституционных прав подпунктом 1 пункта 1 статьи 2593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Группа Компаний «Промресурс»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Группа Компаний «Промресурс» (далее также – ООО ГК «Промресурс») оспаривает конституционность подпункта 1 пункта 1 статьи 2593 Налогового кодекса Российской Федерации, устанавливающего право налогоплательщика на применение к основной норме амортизации специального коэффициента, но не выше 2, в отношении амортизируемых основных средств, используемых для работы в условиях агрессивной среды и (или) повышенной сменности, а также предусматривающего правила применения такого специального коэффициента, в частности 2 определяющего агрессивную среду, как совокупность природных и (или) искусственных факторов, влияние которых вызывает повышенный износ (старение) основных средств в процессе их эксплуатации (к работе в агрессивной среде приравнивается также нахождение основных средств в контакте с взрыво-, пожароопасной, токсичной или иной агрессивной технологической средой, которая может послужить причиной (источником) инициирования аварийной ситуации).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 в части доначисления налога на прибыль организаций. При этом суды, в частности, отметили, что использование налогоплательщиком газового оборудования в котельных по разработанным и утвержденным нормативам в режиме, установленном соответствующей документацией производителя, в условиях, предназначенных для эксплуатации, в отсутствие контакта основных средств с агрессивной средой не дает оснований для применения специального коэффициента амортизации. По мнению ООО ГК «Промресурс», оспариваемое законоположение противоречит статьям 15, 18–20, 35, 37, 41, 42 и 57 Конституции Российской Федерации, поскольку по смыслу, придаваемому ему правоприменительной практикой, оно предполагает нарушение требований безопасности при эксплуатации взрыво- или пожароопасного производственного объекта в качестве необходимого условия для применения повышающего коэффициента амортизации для целей налогообложения.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3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налогов. Так, законодателем самостоятельно определяются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пределах предоставленной ему дискреции в сфере налогообложения и устанавливая в главе 25 Налогового кодекса Российской Федерации налог на прибыль организаций, федеральный законодатель установил порядок применения амортизации имущества, в частности, предусмотрев в оспариваемом законоположении право на применение специального коэффициента амортизации в отношении амортизируемых основных средств, используемых для работы в условиях агрессивной среды и (или) повышенной сменности, а также определив агрессивную среду как совокупность природных и (или) искусственных факторов, влияние которых вызывает повышенный износ (старение) основных средств в процессе их эксплуатации (к работе в агрессивной среде приравнивается также нахождение основных средств в контакте с взрыво-, пожароопасной, токсичной или иной агрессивной технологической средой, которая может послужить причиной (источником) инициирования аварийной ситуации). При этом федеральный законодатель также прямо предусмотрел исключения из указанного правила: налогоплательщики, использующие амортизируемые основные средства для работы в условиях агрессивной среды и (или) повышенной сменности, вправе использовать специальный коэффициент только при начислении амортизации в отношении указанных 4 основных средств; при применении нелинейного метода начисления амортизации указанный специальный коэффициент не применяется к основным средствам, относящимся к первой – третьей амортизационным группам; положения оспариваемого законоположения применяются в отношении амортизируемых основных средств, которые были приняты на учет до 1 января 2014 года. Таким образом, оспариваемое законоположение, предусматривающее условия реализации налогоплательщиком права на применение повышенного коэффициента амортизации, само по себе не содержит неопределенности, не предполагает его произвольного применения и не может рассматриваться как нарушающее конституционные права заявителя. Проверка же обоснованности правоприменительных решений, в том числе в части наличия оснований для применения заявителем специального коэффициента амортизации в отношении отдельных амортизируемых основных средств,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Группа Компаний «Промресурс»,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