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Чеснокова Сергея Ивановича на нарушение его конституционных прав пунктом 1 статьи 382, пунктом 1 статьи 384 и статьей 386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С.И.Чеснокова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С.И.Чесноков оспаривает конституционность следующих положений Гражданского кодекса Российской Федерации: пункта 1 статьи 382, устанавливающего, что 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закона; пункта 1 статьи 384, согласно которому,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2 моменту перехода права;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проценты; статьи 386 о том, что должник вправе выдвигать против требования нового кредитора возражения, которые он имел против первоначального кредитора, если основания для таких возражений возникли к моменту получения уведомления о переходе прав по обязательству к новому кредитору;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ними; в противном случае должник не вправе ссылаться на такие основания. Как следует из представленных материалов, решением арбитражного суда, оставленным в силе судами апелляционной и кассационной инстанций, отказано в удовлетворении исковых требований заявителя и гражданина К. к обществу с ограниченной ответственностью (новому кредитору) о взыскании убытков, выразившихся в уменьшении стоимости готового бизнеса (общества с ограниченной ответственностью, участниками которого истцы являются), причиненных вследствие невыполнения обязательств по кредитному договору с первоначальным кредитором (банком). По мнению С.И.Чеснокова, оспариваемые положения не соответствуют статьям 46 (часть 1) и 123 (часть 3) Конституции Российской Федерации в той мере, в какой они по смыслу, придаваемому им сложившейся правоприменительной практикой, не позволяют должнику в полной мере использовать право выдвигать против требования нового кредитора возражения, которые он имел против первоначального кредитора, если основания для таких возражений возникли к моменту получения уведомления о переходе прав по обязательству к новому кредитору, в том числе обратиться с иском о компенсации убытков, причиненных первоначальным кредитором (цедентом) непосредственно к цессионарию.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 Конституционный Суд Российской Федерации, положение абзаца первого пункта 1 статьи 382 ГК Российской Федерации, корреспондирующее нормам статьи 128 и пункта 1 статьи 129 того же Кодекса, устанавливающим общее правило об оборотоспособности требований, соответствует потребностям гражданского оборота (определения от 21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Чеснокова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