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положениями статьи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просит признать не соответствующими Конституции Российской Федерации, в том числе ее статьям 1, 2, 3 (часть 4), 4 (часть 2), 15 (части 1 и 2), 17 (часть 1), 18, 19 (части 1 и 2), 45 (часть 1), 46 (части 1 и 2), 49, 50 (часть 2), 52, 54 (часть 2), 55 (части 2 и 3), 751, 118 (часть 2) и 123 (часть 3), положения статьи 90 «Преюдиция» УПК Российской Федерации, утверждая, что они в системе действующего правового регулирования и по смыслу, придаваемому им правоприменительной практикой, позволяют: игнорировать судебный акт по гражданскому делу, в котором сделан вывод о том, что лицо (впоследствии в рамках уголовного дела признанное 2 потерпевшим) не имеет подлежащего защите судом интереса в гражданском правоотношении; использовать уголовное судопроизводство как инструмент преодоления преюдиции вступившего в законную силу решения суда по гражданскому делу, ссылаться на недействительность (фиктивность) сделки, установленную в уголовном процессе, что, помимо прочего, означает подмену видов судопроизводства и введение уголовных санкций за гражданские проступки. Согласно представленным материалам апелляционным приговором Ю.А.Водянников признан виновным в совершении мошенничества, способом которого признан обман, связанный с представлением в суд фиктивных договоров, содержащих ложные сведения об обязательствах имущественного характера, и с последующим заключением мировых соглашений между соучастниками. Апелляционный приговор в отношении Ю.А.Водянникова оставлен без изменения кассационным судом общей юрисдикции. Отклоняя доводы кассационной жалобы, этот суд указал, что установленная в уголовном деле подложность документов исключает преюдициальную силу принятых с их учетом судебных решений по гражданским делам.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Федерации, которым не было установлено нарушений статьи 90 УПК Российской Федерации, поскольку Ю.А.Водянников вводил в заблуждение суд, рассматривавший гражданское дело.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