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Белькевичус Кристины Константиновны на нарушение конституционных прав ее несовершеннолетнего сына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К.К.Белькевичус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К.К.Белькевичус, действующая в интересах своего несовершеннолетнего сына,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сын заявительницы являлся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ему категории «ребенок-инвалид» и назначения социальной пенсии по инвалидности, 2 поскольку он не относится к категориям лиц, наделенных правом на одновременное получение двух пенсий. Правильность такого решения подтверждена судами общей юрисдикции. По мнению К.К.Белькевичус,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Белькевичус Кристины Константиновны,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