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Решетовой Татьяны Геннадиевны на нарушение конституционных прав ее несовершеннолетнего сына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Т.Г.Решетовой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Т.Г.Решетова, действующая в интересах своего несовершеннолетнего сына,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сыну заявительницы, которому установлена категория «ребенок-инвалид», в назначении социальной пенсии по инвалидности, ссылаясь на то, что после смерти отца он получает страховую пенсию по случаю потери кормильца и не 2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Т.Г.Решетовой,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Решетовой Татьяны Геннадиевны,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