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34-П/2025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Коробко Натальи Борисовны на нарушение ее конституционных прав частями первой и второй статьи 208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Н.Б.Коробко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Н.Б.Коробко оспаривает конституционность частей первой и второй статьи 208 «Индексация присужденных денежных сумм» ГПК Российской Федерации. Как следует из представленных материалов, решением суда общей юрисдикции в пользу Н.Б.Коробко с Российской Федерации в лице Министерства финансов Российской Федерации взыскана компенсация морального вреда, причиненного в результате незаконных привлечения к уголовной ответственности, нахождения в статусе подозреваемого и обвиняемого, задержания и заключения под стражу. Поданное Н.Б.Коробко 2 после исполнения данного решения суда заявление об индексации присужденных денежных сумм было предметом неоднократного рассмотрения судами различных инстанций, по результатам которого вынесено апелляционное определение суда апелляционной инстанции о его частичном удовлетворении. При этом суд указал, помимо прочего, на необходимость учета правовых позиций Конституционного Суда Российской Федерации по вопросам индексации присужденных денежных сумм при обращении взыскания на средства бюджетов бюджетной системы Российской Федерации, изложенных в постановлениях от 22 июня 2023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Постановлением Конституционного Суда Российской Федерации от 25 января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Коробко Натальи Борисовны,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