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2246-О/2025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Гомзякова Александра Викторовича на нарушение его конституционных прав пунктом 2 статьи 448 Гражданского кодекса Российской Федерации и пунктом 3 статьи 57 Федерального закона «Об ипотеке (залоге недвижимости)»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А.В.Гомзякова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А.В.Гомзяков оспаривает конституционность следующих норм: пункта 2 статьи 448 ГК Российской Федерации, закрепляющего, что, если иное не предусмотрено законом, извещение о проведении торгов должно быть опубликовано организатором не позднее чем за тридцать дней до их проведения; извещение должно содержать сведения о времени, месте и форме торгов, об их предмете, о существующих обременениях продаваемого имущества и о порядке проведения торгов, в том числе об оформлении участия 2 в торгах, определении лица, выигравшего торги, а также сведения о начальной цене; пункта 3 статьи 57 Федерального закона от 16 июля 1998 года № 102-ФЗ «Об ипотеке (залоге недвижимости)», согласно которому организатор публичных торгов извещает о предстоящих публичных торгах не позднее чем за 10 дней, но не ранее чем за 30 дней до их проведения в периодическом издании, являющемся официальным информационным органом органа исполнительной власти субъекта Российской Федерации, по месту нахождения недвижимого имущества, а также направляет соответствующую информацию для размещения в сети «Интернет» в порядке, установленном Правительством Российской Федерации; в извещении указываются дата, время и место проведения публичных торгов, характер продаваемого имущества и его начальная продажная цена. Как следует из представленных материалов, решением суда общей юрисдикции, с которым согласились суды вышестоящих инстанций, отказано в удовлетворении исковых требований А.В.Гомзякова о признании недействительными торгов и заключенного в результате их проведения договора купли-продажи квартиры, реализованной как предмет залога, на который обращено взыскание. Суд пришел к выводу, что правила проведения торгов не нарушены. По мнению заявителя, оспариваемые положения противоречат статьям 2, 6 (часть 2), 12, 15, 17–19, 45 и 46 Конституции Российской Федерации, поскольку по смыслу, придаваемому им правоприменительной практикой в системе действующего правового регулирования, допускают возможность публикации уведомления о проведении торгов в малотиражных и не охватывающих целевой аудитории печатных изданиях, содержат неопределенность в вопросе о сроках публикации этого уведомления, вследствие чего не гарантируют собственнику заложенного жилого помещения продажи этого имущества с торгов, проводимых в целях исполнения решения суда или исполнительных документов в порядке исполнительного производства, по рыночной цене.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Гомзякова Александра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