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частью четвертой статьи 14, пунктом 2 части второй статьи 75 и частью четвертой статьи 302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оспаривает конституционность части четвертой статьи 14 «Презумпция невиновности», пункта 2 части второй статьи 75 «Недопустимые доказательства» и части четвертой статьи 302 «Виды приговоров» УПК Российской Федерации. Апелляционным приговором Ю.А.Водянников признан виновным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размере. Апелляционный приговор в отношении Ю.А.Водянникова оставлен без изменения 2 кассационным судом общей юрисдикции.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Федерации. По мнению заявителя, оспариваемые нормы не соответствуют статьям 1 (часть 1), 2, 4 (часть 2), 15 (часть 2), 17 (часть 3), 18, 19, 21, 45 (часть 1), 46 (часть 1), 49, 55 (части 2 и 3), 751 и 123 (часть 3) Конституции Российской Федерации в той мере, в какой они – в системе действующего правового регулирования и по смыслу, придаваемому им правоприменительной практикой, – позволяют: постановлять обвинительный приговор, основанный на показаниях потерпевших, не являющихся участниками и очевидцами событий, оформляя сообщаемые ими сведения как мнение или утверждение; преодолевать запрет на использование предположений для доказывания виновности лица путем свободного толкования понятия «предположение».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