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Шаранина Юрия Анатольевича на нарушение его конституционных прав статьями 2, 151, 3171 и 395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Ю.А.Шаранина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Ю.А.Шаранин оспаривает конституционность статей 2 «Отношения, регулируемые гражданским законодательством», 151 «Компенсация морального вреда», 3171 «Проценты по денежному обязательству» и 395 «Ответственность за неисполнение денежного обязательства» ГК Российской Федерации. Решением суда общей юрисдикции в пользу Ю.А.Шаранина взыскана компенсация морального вреда в связи с несвоевременным назначением страховой пенсии по старости, а в части требований о взыскании социальных выплат, процентов за задержку выплаты страховой пенсии по старости иск 2 оставлен без удовлетворения. При этом, отказывая во взыскании процентов за просрочку выплаты страховой пенсии по старости, суд исходил из того, что отношения между сторонами не являются гражданско-правовыми. Суд апелляционной инстанции, отменив названное решение в части компенсации морального вреда, отказал в ее взыскании полностью, поскольку пришел к выводу об отсутствии вины пенсионного органа в несвоевременном назначении истцу страховой пенсии по старости. Решение суда первой инстанции в неотмененной части и определение суда апелляционной инстанции оставлены без изменения кассационным судом общей юрисдикции.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Ю.А.Шаранина для рассмотрения в судебном заседании суда кассационной инстанции. По мнению заявителя, оспариваемые положения не соответствуют Конституции Российской Федерации, в том числе ее статьям 39, 45, 46 и 53, в той мере, в какой они исключают возможность взыскания на их основе процентов и компенсации морального вреда в случае несвоевременного назначения и просрочки выплаты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 ГК Российской Федерации не допускает применения гражданского законодательства к имущественным отношениям, основанным на административном или ином властном подчинении одной стороны другой, если иное не предусмотрено законодательством (пункт 3). Исходя из этого применение положений статьи 395 ГК Российской Федерации в конкретных спорах зависит от того, являются ли спорные имущественные отношения гражданско-правовыми, а нарушенное обязательство – денежным, а если не являются, то имеется ли указание законодателя на возможность ее применения к этим отношениям (определения Конституционного Суда Российской Федерации от 19 апреля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Шаранина Юрия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