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Шардаковой Марии Валериевны на нарушение ее конституционных прав пунктом 2 статьи 107 и пунктом 2 статьи 113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М.В.Шардаковой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М.В.Шардакова оспаривает конституционность следующих положений Семейного кодекса Российской Федерации: пункта 2 статьи 107, предусматривающего, что алименты присуждаются с момента обращения в суд; 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уплаты; пункта 2 статьи 113, закрепляющего, что в тех случаях, когда удержание алиментов на основании исполнительного листа или на основании 2 нотариально удостоверенного соглашения об уплате алиментов не производилось по вине лица, обязанного уплачивать алименты, взыскание алиментов производится за весь период независимо от установленного пунктом 2 статьи 107 данного Кодекса трехлетнего срока. Из представленных материалов следует, что определением суда апелляционной инстанции отменено решение суда общей юрисдикции об отказе в удовлетворении административного искового заявления, в котором плательщик алиментов просил признать постановление судебного пристава- исполнителя о расчете задолженности по алиментам на несовершеннолетнего ребенка М.В.Шардаковой незаконным. Требование плательщика алиментов было удовлетворено судом апелляционной инстанции, который указал на отсутствие доказательств того, что должник в соответствующий период уклонялся от уплаты алиментов и что М.В.Шардакова предпринимала меры, направленные на их принудительное взыскание. В передаче кассационной жалобы М.В.Шардаковой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административным делам Верховного Суда Российской Федерации было отказано. По мнению заявительницы, оспариваемые нормы противоречат статье 38 (части 1 и 2) Конституции Российской Федерации, поскольку они не раскрывают понятия вины плательщика алиментов и возлагают на взыскателя бремя доказывания принятия мер, направленных на взыскание алиментов, ставя тем самым плательщика алиментов в более выгодное положение и позволяя ему уклоняться от уплаты алиментов. Кроме того, М.В.Шардакова указывает, что оспариваемые нормы нарушают конституционные права ее несовершеннолетнего ребенка, и просит отменить принятые по конкретному делу судебные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Пункт 2 статьи 107 Семейного кодекса Российской Федерации обеспечивает баланс интересов участников алиментных правоотношений (определения Конституционного Суда Российской Федерации от 5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Шардаковой Марии Валериевны,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