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2800-О/2025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Носкова Егора Владимировича на нарушение его конституционных прав частью четвертой статьи 61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Е.В.Носкова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Е.В.Носков оспаривает конституционность части четвертой статьи 61 «Основания для освобождения от доказывания» ГПК Российской Федерации. Решением суда общей юрисдикции, оставленным без изменения судами вышестоящих инстанций, удовлетворен иск заместителя Генерального прокурора Российской Федерации к Е.В.Носкову и гражданину О., осужденным, в частности, за мошенничество, а также двум юридическим лицам об обращении в доход Российской Федерации недвижимого имущества, как приобретенного на основании сделок, заключенных с целью, 2 противной основам правопорядка и нравственности (с целью легализации имущества, полученного преступным путем), и о возврате неосновательного обогащения. Определением судьи Верховного Суда Российской Федерации отказано в передаче кассационных жалоб ответчиков по указанному делу для рассмотрения в судебном заседании суда кассационной инстанции. По мнению заявителя, оспариваемое положение не соответствует статье 50 Конституции Российской Федерации в той мере, в какой оно не предусматривает обязательности вступившего в законную силу приговора суда по уголовному делу для суда, рассматривающего дело о гражданско- правовых последствиях действий осужденного лица, по вопросу о том, с какой целью им были совершены указанные действия.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Признание преюдициального значения судебного решения, будучи направленным на исключение конфликта судебных актов, обеспечение их стабильности и общеобязательности, предполагает, что факты, установленные судом при рассмотрении одного дела, впредь до их опровержения принимаются другим судом по другому делу в этом же или в ином виде судопроизводства, если они имеют значение для разрешения данного дела, что служит средством поддержания непротиворечивости судебных актов и обеспечивает действие принципа правовой определенности. Пределы действия преюдициальности судебного решения объективно определяются тем, что установленные судом в рамках его предмета рассмотрения по делу факты в их правовой сущности могут иметь иное значение в качестве элемента предмета доказывания по другому делу, поскольку предметы доказывания в разных видах судопроизводства не совпадают, а суды в их исследовании ограничены своей компетенцией в рамках конкретного вида судопроизводства (постановления Конституционного Суда Российской Федерации от 21 декабря 2011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Носкова Егора Владимировича,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