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Самоновой Аллы Турлубековны на нарушение ее конституционных прав частью первой и пунктом 10 части второй статьи 264, статьей 265 Гражданского процессуального кодекса Российской Федерации, а также статьями 69 и 70 Федерального закона «Об актах гражданского состояния»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А.Т.Самоновой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А.Т.Самонова оспаривает конституционность части первой и пункта 10 части второй статьи 264 «Дела об установлении фактов, имеющих юридическое значение», статьи 265 «Условия, необходимые для установления фактов, имеющих юридическое значение» ГПК Российской Федерации, а также статей 69 «Основания для внесения исправлений и изменений в записи актов гражданского состояния» и 70 «Заключение органа записи актов гражданского состояния о внесении исправления или изменения 2 в запись акта гражданского состояния» Федерального закона от 15 ноября 1997 года № 143-ФЗ «Об актах гражданского состояния». Как следует из представленных материалов, апелляционным определением областного суда, с которым согласились вышестоящие суды, было отказано в удовлетворении заявления А.Т.Самоновой и ее сына – гражданина С. об установлении юридического факта их национальной принадлежности и о внесении изменений в актовую запись о рождении С. По мнению заявительницы, оспариваемые положения противоречат статьям 21, 26 (часть 1), 45, 46 (часть 1) и 55 (часть 3) Конституции Российской Федерации, поскольку препятствуют внесению изменений в запись акта гражданского состояния на основании волеизъявления гражданина о своей национальной принадлежности, а также позволяют судам отказать в установлении факта национальной принадлежности по мотиву отсутствия юридических последствий на территории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69 Федерального закона «Об актах гражданского состояния» внесение исправлений и изменений в записи актов гражданского состояния производится органом записи актов гражданского состояния при наличии оснований, предусмотренных пунктом 2 данной статьи, и при отсутствии спора между заинтересованными лицами (абзац первый пункта 1). В свою очередь, статья 70 указанного Федерального закона закрепляет перечень оснований, когда органом записи актов гражданского состояния составляется заключение о внесении исправления или изменения в запись акта гражданского состояния. Такое правовое регулирование направлено на обеспечение достоверности записей актов гражданского состояния, а потому отсутствие возможности внесения исправлений и изменений в них без установленных Федеральным законом «Об актах гражданского состояния» оснований и 3 документов, подтверждающих наличие таких оснований, не может рассматриваться как нарушение конституционных прав граждан (определения Конституционного Суда Российской Федерации от 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Самоновой Аллы Турлубековны,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