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2301-О/2025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«Кэмп Индустрия» на нарушение его конституционных прав пунктами 1 и 2 статьи 209 и статьей 304 Гражданского кодекса Российской Федерации, частью второй статьи 61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общества с ограниченной ответственностью «Кэмп Индустрия»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«Кэмп Индустрия» (далее также – Общество) оспаривает конституционность пунктов 1 и 2 статьи 209 «Содержание права собственности» и статьи 304 «Защита прав собственника от нарушений, не связанных с лишением владения» ГК Российской Федерации, части второй статьи 61 «Основания для освобождения от доказывания» ГПК Российской Федерации. Как следует из представленных материалов, решением суда общей юрисдикции, принятым в 2015 году и вступившим в законную силу, Обществу, арендовавшему с 2014 года земельный участок площадью более 29 га, отказано 2 в удовлетворении исковых требований, предъявленных к двум гражданам, об устранении препятствий в пользовании данным участком путем сноса самовольно возведенных построек (хозяйственные постройки, гаражи, ограждение). Суд учел, что спорные объекты использовались ответчиками более 15 лет с согласия собственника земельного участка, соответствующее разрешение было им предоставлено в связи с их предшествовавшей трудовой деятельностью и проживанием на данной территории. Принятым в 2023 году решением того же суда, с которым согласились суды вышестоящих инстанций, Обществу, ставшему уже собственником названного участка, отказано в удовлетворении аналогичных, по сути, требований, адресованных одному из упомянутых граждан. При этом суд апелляционной инстанции отклонил довод истца о нарушении его права на застройку земельного участка (относящегося к категории «земли особо охраняемых территорий и объектов»), указав на отсутствие с его стороны обращения в уполномоченный орган за получением разрешения на строительство. По мнению заявителя, оспариваемые нормы противоречат статьям 17 (часть 3), 19 (части 1 и 2), 35 (части 1 и 3), 46 и 55 (часть 3) Конституции Российской Федерации, поскольку пункты 1 и 2 статьи 209 и статья 304 ГК Российской Федерации позволяют ограничивать право собственности по основаниям, не указанным в законе, а часть вторая статьи 61 ГПК Российской Федерации допускает применение института преюдиции в новом споре между теми же лицами, одно из которых выступает в ином правовом качестве.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«Кэмп Индустрия»,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