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Караказян Натальи Вартановны на нарушение ее конституционных прав статьями 125, 40110 и 40111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Н.В.Караказян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 жалоба гражданки Н.В.Караказян, поданная в порядке статьи 125 УПК Российской Федерации, возвращена для устранения недостатков, с чем согласились суды вышестоящих инстанций. Н.В.Караказян просит признать не соответствующей Конституции Российской Федерации статью 125 «Судебный порядок рассмотрения жалоб» УПК Российской Федерации, как позволяющую суду принимать не предусмотренное законом решение о возвращении жалобы для устранения недостатков. Кроме того, она просит вынести частное определение в отношении 2 судьи суда кассационной инстанции, а также признать неконституционными статьи 40110 «Действия суда кассационной инстанции при поступлении кассационных жалобы, представления» и 401.11 «Решения судьи суда кассационной инстанции, принимаемые им по результатам рассмотрения кассационных жалобы, представления» данного Кодекса.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Караказян Натальи Вартановны,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