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2551-О/2025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Романова Вячеслава Геннадьевича на нарушение его конституционных прав статьями 38917, 40117, 4125 и 4129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В.Г.Романова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Письмами судей Верховного Суда Российской Федерации гражданину В.Г.Романову возвращены без рассмотрения его повторные надзорные жалобы на постановленный в отношении него приговор и последующие судебные решения в связи с тем, что жалобы не содержали доводов о наличии существенных нарушений уголовного или уголовно-процессуального закона, повлиявших на исход уголовного дела. В.Г.Романов утверждает, что статьи 38917 «Существенные нарушения уголовно-процессуального закона», 40117 «Недопустимость внесения повторных кассационных жалобы, представления», 4125 «Рассмотрение 2 надзорных жалобы, представления» и 4129 «Основания отмены или изменения судебных решений в порядке надзора» УПК Российской Федерации противоречат статьям 45, 46, 47 (часть 1), 49 и 50 Конституции Российской Федерации, поскольку не позволяют исправить допущенную в уголовном деле ошибку, которая может и не подпадать под понятие существенного нарушения уголовного или уголовно-процессуального закона.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Романова Вячеслава Геннадьевича,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