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Золотовой Светланы Вениаминовны на нарушение ее конституционных прав пунктом 4 части 1 статьи 129 и пунктом 4 части 1 статьи 254 Кодекса административного судопроизводства Российской Федерации, а также частью 1 статьи 1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С.В.Золотовой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С.В.Золотова оспаривает конституционность пункта 4 части 1 статьи 129 «Возвращение административного искового заявления» и пункта 4 части 1 статьи 254 «Возвращение административного искового заявления о присуждении компенсации» КАС Российской Федерации, а также части 1 статьи 1 «Право на компенсацию за нарушение права на судопроизводство в разумный срок или права на исполнение судебного акта в разумный срок»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2 Как следует из представленных материалов, определением судьи областного суда С.В.Золотовой и ее сыну возвращено административное исковое заявление о присуждении компенсации за нарушение права на исполнение судебного акта в разумный срок, в котором они ссылались на длительное неисполнение судебного приказа о взыскании алиментов на несовершеннолетнего ребенка. С таким решением согласились вышестоящие суды. По мнению заявительницы, оспариваемые законоположения не соответствуют статьям 19 (часть 1) и 55 (часть 3) Конституции Российской Федерации, поскольку исключают для гражданина возможность обратиться в суд с требованием о присуждении компенсации за нарушение права на исполнение судебного акта в разумный срок в том случае, если судебный акт не предусматривает обращение взыскания на средства бюджетов бюджетной системы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Золотовой Светланы Вениаминовны,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