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Спирина Александра Владиславовича на нарушение его конституционных прав рядом норм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А.В.Спирина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А.В.Спирин оспаривает конституционность следующих положений Трудового кодекса Российской Федерации, примененных в его деле судом: статьи 2, закрепляющей основные принципы правового регулирования трудовых отношений и иных непосредственно связанных с ними отношений; части первой статьи 3, согласно которой каждый имеет равные возможности для реализации своих трудовых прав; абзаца второго части первой статьи 21, в соответствии с которым работник имеет право на заключение, изменение и расторжение трудового 2 договора в порядке и на условиях, которые установлены данным Кодексом, иными федеральными законами; пункта 2 части первой статьи 81, предусматривающего, что трудовой договор может быть расторгнут работодателем в случае сокращения численности или штата работников организации, индивидуального предпринимателя; статьи 394, определяющей последствия признания органом, рассматривающим индивидуальный трудовой спор, в том числе судом, увольнения работника или его перевода на другую работу незаконным. По мнению заявителя, пункт 2 части первой статьи 81 Трудового кодекса Российской Федерации во взаимосвязи с другими оспариваемыми нормами данного Кодекса противоречит статьям 7 (часть 2), 34 (часть 1), 35 (часть 2), 37 (части 1 и 4), 46 (части 1 и 2) и 75 (часть 5) Конституции Российской Федерации, поскольку не устанавливает основания принятия работодателем решения о сокращении численности или штата работников организации, позволяя ему произвольно принимать такое решение, и исключает возможность судебного контроля за законностью оснований этого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Трудовой кодекс Российской Федерации, основываясь на положениях статей 37 (части 1 и 4) и 46 (часть 1) Конституции Российской Федерации, относит к основным принципам правового регулирования трудовых отношений и иных непосредственно связанных с ними отношений (статья 2 данного Кодекса) равенство прав и возможностей работников, обеспечение права каждого на защиту государством его трудовых прав и свобод, включая судебную защиту, обязанность сторон трудового договора соблюдать условия заключенного договора. Данные принципы находят свое развитие в иных нормах этого Кодекса, в том 3 числе запрещающих дискриминацию в сфере труда (статья 3), предоставляющих работнику право на заключение, изменение и расторжение трудового договора в порядке и на условиях, которые установлены данным Кодексом, иными федеральными законами (абзац второй части первой статьи 21), закрепляющих правила вынесения решений по трудовым спорам об увольнении и о переводе на другую работу (статья 394). Такое правовое регулирование гарантирует надлежащую защиту прав и законных интересов работника как экономически более слабой стороны в трудовом правоотношении, в том числе восстановление его прав в случае незаконного увольнения, и не может рассматриваться как нарушающее права работников. Конституционный Суд Российской Федерации неоднократно отмечал, что, реализуя закрепленные Конституцией Российской Федерации (статья 34, часть 1; статья 35, часть 2) права, работодатель в целях осуществления эффективной экономической деятельности и рационального управления имуществом вправе самостоятельно, под свою ответственность принимать необходимые кадровые решения, обеспечивая при этом в соответствии с требованиями статьи 37 Конституции Российской Федерации закрепленные трудовым законодательством гарантии трудовых прав работников. Принятие решения об изменении структуры, штатного расписания, численного состава работников организации относится к исключительной компетенции работодателя, который вправе расторгнуть трудовой договор с работником в связи с сокращением численности или штата работников организации (пункт 2 части первой статьи 81 Трудового кодекса Российской Федерации) при условии соблюдения закрепленных в Трудовом кодексе Российской Федерации принципов правового регулирования трудовых отношений, установленных в статье 2, порядка увольнения и гарантий, направленных против произвольного увольнения, предусмотренных в части третьей 4 статьи 81, части первой статьи 179, частях первой и второй статьи 180 указанного Кодекса (определения от 15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Спирина Александра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