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Гайворонского Сергея Анатольевича на нарушение его конституционных прав частью первой статьи 112 и частью первой статьи 214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С.А.Гайворонского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С.А.Гайворонский оспаривает конституционность части первой статьи 112 «Восстановление процессуальных сроков» и части первой статьи 214 «Выдача и направление копий решения суда» ГПК Российской Федерации. Как следует из представленных материалов, определением суда общей юрисдикции было отказано в удовлетворении заявления администрации муниципального образования о восстановлении пропущенного процессуального срока подачи апелляционной жалобы на решение суда, которым были удовлетворены исковые требования С.А.Гайворонского к 2 администрации муниципального образования о признании права собственности на гостевые дома. При этом суд исходил из того, что представитель администрации был извещен о времени и месте судебного заседания и в своем ходатайстве просил о рассмотрении дела в его отсутствие. Кроме того, судом было указано, что решение суда было размещено на официальном сайте в сети Интернет. Суд апелляционной инстанции, придя к выводу о том, что представитель ответчика не участвовал в судебном заседании, по результатам которого было вынесено решение суда, а материалы дела не содержат доказательств направления и получения ответчиком копии мотивированного решения суда, а также его размещения в установленные сроки на официальном сайте суда в сети Интернет, отменил определение суда первой инстанции и восстановил администрации муниципального образования пропущенный процессуальный срок, с чем согласился кассационный суд общей юрисдикции. Судья Верховного Суда Российской Федерации, изучив по материалам истребованного гражданского дела кассационную жалобу С.А.Гайворонского, отказал в передаче этой жалобы для рассмотрения в судебном заседании Судебной коллегии по гражданским делам Верховного Суда Российской Федерации. Заместитель Председателя Верховного Суда Российской Федерации поддержал данный вывод судьи этого суда. По мнению С.А.Гайворонского, оспариваемые взаимосвязанные законоположения по смыслу, придаваемому им правоприменительной практикой в системе действующего правового регулирования, не соответствуют статьям 2, 7, 17 (части 1 и 3), 18, 19 (части 1 и 2), 35 (части 1 и 2), 46 (часть 1), 55 (части 2 и 3) и 123 (часть 3) Конституции Российской Федерации, поскольку позволяют суду восстановить пропущенный процессуальный срок на обжалование в апелляционном порядке вступившего в законную силу и исполненного решения суда (несмотря на истечение разумного срока для такого восстановления) лицу, которое в течение длительного периода не предпринимало попыток получить обжалуемое судебное постановление.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Гайворонского Сергея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