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Группа Компаний «Промресурс» на нарушение его конституционных прав подпунктом 1 пункта 1 статьи 2593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Группа Компаний «Промресурс»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Группа Компаний «Промресурс» (далее также – ООО ГК «Промресурс») оспаривает конституционность подпункта 1 пункта 1 статьи 2593 Налогового кодекса Российской Федерации, устанавливающего право налогоплательщика на применение к основной норме амортизации специального коэффициента, но не выше 2, в том числе в отношении амортизируемых основных средств, используемых для работы в условиях повышенной сменности. Как следует из представленных материалов, вступившими в законную силу актами арбитражных судов заявителю отказано в признании 2 недействительным решения налогового органа в части доначисления налога на прибыль организаций. При этом суды, в частности, пришли к выводу об отсутствии у налогоплательщика документального подтверждения использования основных средств в условиях повышенной сменности (три смены и более) и неправомерности применения к ним специального коэффициента амортизации. По мнению ООО ГК «Промресурс», оспариваемое законоположение противоречит статьям 15, 18, 19 и 57 Конституции Российской Федерации, поскольку по смыслу, придаваемому ему правоприменительной практикой, оно препятствует применению специального коэффициента амортизации к основным средствам, используемым в три смены, одна из которых является неполной.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Группа Компаний «Промресурс»,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