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Фургала Сергея Ивановича на нарушение его конституционных прав частью первой статьи 334, частями первой, четвертой и пятой статьи 338, частями восьмой и десятой статьи 343, частями первой и третьей статьи 345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С.И.Фургала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суда, постановленным с участием присяжных заседателей, гражданин С.И.Фургал осужден за совершение преступлений. Вышестоящие суды, соглашаясь с приговором, отвергли доводы стороны защиты о том, что председательствующий судья нарушил требования закона, предъявляемые к вопросному листу. Суды пришли к выводу, что вопросный лист отвечает требованиям, предусмотренным статьями 338 и 339 УПК Российской Федерации, а доводы защитников об отсутствии вопросного листа вследствие того, что в материалах уголовного дела не содержится документа с 2 названием «вопросный лист», являются надуманными, поскольку неверное название не свидетельствует о недействительности данного документа, не умаляет его процессуального предназначения, не искажает смысла этого документа и не влечет отмену приговора. В этой связи С.И.Фургал просит признать не соответствующими статьям 2, 15 (часть 1), 17 (часть 1), 19 (части 1 и 2), 45 (часть 1), 46 (часть 1), 47 (часть 2), 49 (часть 1) и 120 (часть 1) Конституции Российской Федерации: часть первую статьи 334 «Полномочия судьи и присяжных заседателей», части первую, четвертую и пятую статьи 338 «Постановка вопросов, подлежащих разрешению присяжными заседателями», части восьмую и десятую статьи 343 «Вынесение вердикта», части первую и третью статьи 345 «Провозглашение вердикта» УПК Российской Федерации в той мере, в какой они – в силу отсутствия каких-либо нормативных предписаний относительно формы вопросного листа – допускают в зависимости от субъективного усмотрения формулирование вопросов, подлежащих разрешению коллегией присяжных заседателей, в любом процессуальном документе, в частности без его обозначения как «вопросный лист» или с наименованием «вопросы председательствующего судьи».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в главе 42, закрепляя правила производства по уголовным делам, рассматриваемым судом с участием присяжных заседателей, устанавливает полномочия судьи и присяжных заседателей, регламентирует процедуру постановки вопросов, подлежащих разрешению присяжными заседателями, содержание данных вопросов, а также порядок вынесения и провозглашения вердикта – решения о виновности или невиновности подсудимого, вынесенного коллегией присяжных заседателей (пункт 5 статьи 5, статьи 334, 338, 339, 343 и 345). 3 Названные правила являются частью процессуального механизма, обеспечивающего объективное и точное разрешение коллегией присяжных заседателей отнесенных к их компетенции вопросов факта (о доказанности деяния, совершения его подсудимым, виновности подсудимого в его совершении). В частности, эти правила гарантируют права сторон обвинения и защиты по их участию в формировании вопросов, подлежащих разрешению присяжными заседателями. Согласно статье 338 УПК Российской Федерации судья с учетом результатов судебного следствия, прений сторон формулирует в письменном виде вопросы, подлежащие разрешению присяжными заседателями, зачитывает их и передает сторонам (часть первая); стороны вправе высказать свои замечания по содержанию и формулировке вопросов и внести предложения о постановке новых вопросов; при этом судья не вправе отказать подсудимому или его защитнику в постановке вопросов о наличии по уголовному делу фактических обстоятельств, исключающих ответственность подсудимого за содеянное или влекущих за собой его ответственность за менее тяжкое преступление (часть вторая); с учетом замечаний и предложений сторон судья в совещательной комнате окончательно формулирует вопросы, подлежащие разрешению присяжными заседателями, и вносит их в вопросный лист, который подписывается им (часть четвертая). Отсутствие же в оспариваемых нормах предписаний об оформлении реквизитов вопросного листа, в том числе требований к его заголовку, не влечет произвольного формулирования вопросов, подлежащих разрешению коллегией присяжных заседателей, а также не препятствует вышестоящим судам оценить, допущены ли нарушения при составлении вопросного листа и влияют ли они на содержание вердикта, права сторон. Таким образом, оспариваемые заявителем нормы не могут расцениваться как нарушающие его права.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Фургала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