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Шерина Сергея Викторовича на нарушение его конституционных прав пунктом 1 части 1 статьи 20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С.В.Шерина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С.В.Шерин оспаривает конституционность пункта 1 части 1 статьи 20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в соответствии с которым запрещается совершение регистрационных действий в случае невозможности идентификации транспортного средства вследствие подделки, сокрытия, изменения и (или) уничтожения маркировки транспортного средства и (или) маркировки основного компонента транспортного средства. 2 Из представленных материалов следует, что заявитель приобрел по договору купли-продажи грузовой автомобиль и обратился в уполномоченный орган с заявлением о его регистрации. Решением должностного лица, оставленным без изменения судами, заявителю отказано в регистрации транспортного средства. Как указали суды, отсутствие идентификационной маркировки в месте должного нанесения номера кабины автомобиля является безусловным основанием для отказа в совершении регистрационных действий ввиду невозможности идентификации основного компонента транспортного средства. Заявитель, выражая несогласие с судебными решениями по своему конкретному делу и требуя их отмены, полагает, что оспариваемая норма содержит неопределенность, позволяющую произвольно отказывать в регистрации транспортных средств, а потому противоречит Конституции Российской Федерации, ее статьям 19 (часть 1) и 46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законодатель предусмотрел, что транспортное средство допускается к участию в дорожном движении в случае, если оно состоит на государственном учете, и возложил на владельца транспортного средства обязанность обратиться с заявлением в регистрационное подразделение для внесения изменений в регистрационные данные транспортного средства в связи со сменой владельца транспортного средства в течение десяти дней со дня приобретения прав владельца транспортного средства (абзац первый пункта 3 статьи 15 Федерального закона от 10 декабря 1995 года № 196-ФЗ «О безопасности дорожного движения» и пункт 3 части 3 статьи 8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Федерации»). 3 Согласно пункту 6 части 1 статьи 18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 государственный учет транспортных средств прекращается в том числе при выявлении оснований, предусмотренных пунктом 1 части 1 статьи 20 данного Федерального закона; при этом пункт 1 части 5 статьи 20 относит к основаниям для отказа в совершении регистрационных действий выявление обстоятельств, при которых совершение регистрационных действий запрещается и одним из которых является установленный оспариваемой нормой случай отсутствия заводской маркировки основного компонента транспортного средства. Таким образом, федеральный законодатель установил общее правило о недопустимости государственного учета транспортных средств, которые, в частности, невозможно идентифицировать ввиду отсутствия заводской маркировки основного компонента транспортного средства. Данное регулирование направлено на поддержание установленного порядка дорожного движения и обеспечение эффективного контроля за действиями его участников, потому оспариваемая норма не может рассматриваться как нарушающая конституционные права заявителя, указанные в жалобе. Установление фактических обстоятельств, имеющих значение для разрешения конкретного дела, и разрешение вопроса о том, имелась ли возможность идентификации основного компонента транспортного средства заявителя,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Шерина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