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Аксеновой Ольги Николаевны на нарушение конституционных прав ее несовершеннолетнего сына статьей 256 Гражданского кодекса Российской Федерации и статьями 34 и 39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О.Н.Аксеновой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О.Н.Аксенова, действующая в интересах своего несовершеннолетнего сына, оспаривает конституционность статьи 256 «Общая собственность супругов» ГК Российской Федерации и статей 34 «Совместная собственность супругов» и 39 «Определение долей при разделе общего имущества супругов» Семейного кодекса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жилое помещение признано совместной собственностью наследодателя и его бывшей супруги – гражданки Д., за которой признана 2 доля в праве собственности на жилое помещение. Суды отклонили довод о пропуске Д. срока исковой давности, указав, что этот срок исчисляется с момента смерти наследодателя, наследство которого принял несовершеннолетний сын заявительницы.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определением судьи этого суда. По мнению заявительницы, указывающей на нарушение в этом деле прав несовершеннолетнего ребенка, гарантированных статьями 2, 17–19, 35, 38 и 40 Конституции Российской Федерации, оспариваемые нормы противоречат Конституции Российской Федерации, поскольку по смыслу, придаваемому им правоприменительной практикой, они позволяют лишать ребенка жилого помещения, несмотря на истечение срока исковой давности. Кроме того, О.Н.Аксенова просит признать противоречащим статье 46 Конституции Российской Федерации упомянутое определение судьи Верховного Суда Российской Федерации и проверить конституционность практики применения оспариваемых норм.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второй пункта 4 статьи 256 ГК Российской Федерации прямо закрепляет общее правило о том, что в случае смерти одного из супругов пережившему супругу принадлежит доля в праве на общее имущество супругов, равная одной второй. Кроме того, статья 1150 данного Кодекса предусматривает, что 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Такое регулирование обеспечивает защиту интересов супругов и бывших супругов (Определение Конституционного Суда Российской Федерации от 25 июня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Аксеновой Ольги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