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«Мирнабэль» на нарушение его конституционных прав статьей 210 и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общества с ограниченной ответственностью «Мирнабэль»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«Мирнабэль» (далее также – ООО «Мирнабэль») оспаривает конституционность статьи 210 «Бремя содержания имущества» и пункта 1 статьи 1064 «Общие основания ответственности за причинение вреда» ГК Российской Федерации. Из представленных материалов следует, что решением арбитражного суда (принятым при новом рассмотрении дела), с которым согласились суды вышестоящих инстанций, заявителю отказано во взыскании с собственника здания, примыкающего к принадлежащему ООО «Мирнабэль» объекту недвижимости, убытков, причиненных в результате пожара, возникшего в здании ответчика. Суды при этом указали на то, что соответствующий вред был причинен по вине другого лица – подрядчика, выполнявшего огневые 2 работы на крыше здания, принадлежащего ответчику, на основании договора с последним. По мнению заявителя, оспариваемые законоположения как сами по себе, так и во взаимосвязи со статьями 37 и 38 Федерального закона от 21 декабря 1994 года № 69-ФЗ «О пожарной безопасности» противоречат Конституции Российской Федерации, ее статьям 15 (части 1 и 2), 19 (часть 1), 35 (часть 1) и 46 (часть 1), в той мере, в какой по смыслу, придаваемому правоприменительной практикой, они позволяют освобождать собственника имущества от ответственности за возмещение вреда, причиненного потерпевшему подрядчиком, привлеченным таким собственником для выполнения работ в отношении его имущества, лишь на том основании, что была установлена вина подрядчика как непосредственного причинителя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Закрепленное в статье 210 ГК Российской Федерации правило о несении собственником бремени содержания принадлежащего ему имущества является базовым для законодательного и договорного регулирования обязанностей собственника и направлено на обеспечение сохранности имущества (определения Конституционного Суда Российской Федерации от 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«Мирнабэль», поскольку они не отвечают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