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Головнина Романа Игоревича на нарушение его конституционных прав частью второй статьи 151 и пунктом 2 статьи 1101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Р.И.Головнина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Р.И.Головнин, иск которого о взыскании компенсации морального вреда, причиненного незаконным уголовным преследованием, незаконным содержанием под стражей, ненадлежащими условиями содержания под стражей и наступлением вреда здоровью, удовлетворен частично, оспаривает конституционность части второй статьи 151 «Компенсация морального вреда» и пункта 2 статьи 1101 «Способ и размер компенсации морального вреда» ГК Российской Федерации. По мнению заявителя, оспариваемые положения не соответствуют Конституции Российской Федерации, поскольку они позволяют суду значительно снижать взыскиваемую в пользу реабилитированного лица 2 сумму компенсации морального вреда, вопреки доказанным в судебном заседании обстоятельствам и отсутствию доказательств, подтверждающих необходимость снижения заявленной реабилитированным лицом суммы. Кроме того, Р.И.Головнин просит признать неконституционными вынесенные по конкретному делу судебные постановления и письмо сотрудника аппарата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Головнина Романа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