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2885-О/2025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Кадомцева Владимира Алексеевича на нарушение его конституционных прав положениями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В.А.Кадомцева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В.А.Кадомцев оспаривает конституционность положений Федерального закона от 8 августа 2024 года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в соответствии с которыми внесены изменения в Налоговый кодекс Российской Федерации, в частности, увеличивающие размеры государственной пошлины по делам, рассматриваемым в судах, а также уточняющие порядок и условия предоставления отсрочки или рассрочки ее уплаты; предусмотрены сроки вступления в силу 2 соответствующих изменений с учетом требований Налогового кодекса Российской Федерации о действии актов законодательства о налогах и сборах во времени. Как следует из представленных материалов, определениями судов общей юрисдикции неоднократно оставлялись без движения и возвращались жалобы В.А.Кадомцева на судебные акты в связи с неуплатой государственной пошлины. При этом суды не находили оснований для освобождения заявителя от ее уплаты. По мнению В.А.Кадомцева, оспариваемые законоположения противоречат статье 46 Конституции Российской Федерации, поскольку не предусматривают освобождения от уплаты государственной пошлины для пенсионеров и тем самым препятствуют их доступу к правосудию.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Кадомцева Владимира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