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жилья «Урицкого, 10» на нарушение его конституционных прав частями 2 и 3 статьи 69 Арбитражного процессуального кодекса Российской Федерации, пунктом 4 части 1 статьи 36 Жилищного кодекса Российской Федерации, статьей 8 Федерального закона «О водоснабжении и водоотведении»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товарищества собственников жилья «Урицкого, 10»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решением арбитражного суда, оставленным без изменения судами апелляционной и кассационной инстанций, отказано в удовлетворении исковых требований товарищества собственников жилья «Урицкого, 10» (далее также – ТСЖ «Урицкого, 10») к гарантирующей организации об урегулировании разногласий относительно заключения дополнительного соглашения к договору холодного водоснабжения и водоотведения в части изменения границы эксплуатационной ответственности. 2 Основанием для принятия указанного решения послужил факт принадлежности собственникам помещений многоквартирного дома имущества (водопроводной насосной станции), установленный в рамках иного, ранее рассмотренного судебного спора, и, как следствие, отсутствие оснований принудительно возложить на гарантирующую организацию ответственность за эксплуатацию данного имущества. Суд апелляционной инстанции также отметил, что требования заявителя фактически сводятся к внесению изменений в договор, что предполагает необходимость доказывания наличия оснований таких изменений, в то время как соответствующие обстоятельства заявителем не доказаны.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 ТСЖ «Урицкого, 10» оспаривает конституционность частей 2 и 3 статьи 69 «Основания освобождения от доказывания» АПК Российской Федерации, пункта 4 части 1 статьи 36 «Право собственности на общее имущество собственников помещений в многоквартирном доме» Жилищного кодекса Российской Федерации, статьи 8 «Обеспечение эксплуатации систем водоснабжения и водоотведения» Федерального закона от 7 декабря 2011 года № 416-ФЗ «О водоснабжении и водоотведении», указывая на несоответствие данных законоположений статьям 8, 19, 34, 35, 42, 46 и 55 Конституции Российской Федерации. Заявитель связывает нарушение конституционных прав собственников помещений в многоквартирном доме с невозможностью передать бремя эксплуатации спорного имущества иному лицу, что, по его мнению, явилось следствием неверной квалификации правового статуса данного имущества, основанной на применении оспариваемых законоположений.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жилья «Урицкого, 10»,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