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Батуры Андрея Николаевича на нарушение его конституционных прав частью первой статьи 151, статьей 1069 Гражданского кодекса Российской Федерации, а также частью 2 статьи 1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А.Н.Батуры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А.Н.Батура оспаривает конституционность части первой статьи 151 «Компенсация морального вреда»,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Федерации, а также части 2 статьи 1 «Сфера применения настоящего Федерального закона» Федерального закона от 2 мая 2006 года № 59-ФЗ «О порядке рассмотрения обращений граждан Российской Федерации». 2 Решением суда общей юрисдикции, оставленным без изменения судами апелляционной и кассационной инстанций, отказано в удовлетворении иска А.Н.Батуры о взыскании компенсации морального вреда, причиненного незаконным отказом должностного лица в возбуждении дела об административном правонарушении по его заявлению. Суды указали, что сам по себе факт отмены в судебном порядке определения должностного лица об отказе в возбуждении дела об административном правонарушении не является основанием для взыскания компенсации морального вреда и не свидетельствует о причинении истцу морального вреда. Суды также учитывали, что в возбуждении дела об административном правонарушении отказано и по результатам повторного рассмотрения должностным лицом заявления А.Н.Батуры.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А.Н.Батура полагает, что: часть первая статьи 151 ГК Российской Федерации не позволяет взыскать компенсацию морального вреда, если он причинен в результате незаконного бездействия (а не действия) государственного органа; статья 1069 ГК Российской Федерации позволяет рассматривать в качестве вреда, подлежащего возмещению в соответствии с данной нормой, прямой действительный ущерб, но не моральный вред; часть 2 статьи 1 Федерального закона «О порядке рассмотрения обращений граждан Российской Федерации» позволяет не применять положения данного Федерального закона, в том числе об ответственности за ненадлежащее рассмотрение обращения, в случаях, если обращение гражданина подлежит рассмотрению по правилам Кодекса Российской Федерации об административных правонарушениях, и тем самым препятствует взысканию компенсации морального вреда, причиненного рассмотрением обращения с нарушением норм упомянутого Кодекса. В связи с этим, по мнению А.Н.Батуры, данные нормы не соответствуют статьям 1, 19, 21, 29, 45 и 46 Конституции Российской Федерации.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Батуры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