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«ИВА» на нарушение его конституционных прав статьями 154, 166 и 170–173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«ИВА»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«ИВА» (далее также – ООО «ИВА») оспаривает конституционность статей 154 «Порядок определения налоговой базы при реализации товаров (работ, услуг)», 166 «Порядок исчисления налога», 170 «Порядок отнесения сумм налога на затраты по производству и реализации товаров (работ, услуг)», 171 «Налоговые вычеты», 172 «Порядок применения налоговых вычетов» и 173 «Сумма налога, подлежащая уплате в бюджет» главы 21 «Налог на добавленную стоимость» Налогового кодекса Российской Федерации. Как следует из представленных материалов, вступившими в законную силу актами арбитражных судов отказано в признании недействительным 2 решения налогового органа о привлечении заявителя к налоговой ответственности. При этом суды пришли к выводу, что им осуществлен формальный перенос части выручки от предпринимательской деятельности на подконтрольные организации, позволивший получить необоснованную налоговую выгоду; кроме того, суды признали обоснованным произведенный налоговым органом расчет размера налоговой задолженности. По мнению ООО «ИВА», оспариваемые законоположения противоречат статьям 19, 34, 35 и 57 Конституции Российской Федерации, поскольку по смыслу, придаваемому им правоприменительной практикой, позволяют произвольно определять размер налоговой обязанности налогоплательщика при сходных фактических обстоятельствах.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установленная Конституцией Российской Федерации обязанность каждого платить законно установленные налоги и сборы (статья 57) предполагает, что налогоплательщик не вправе распоряжаться по своему усмотрению той частью принадлежащего ему имущества, которая в виде определенной денежной суммы подлежит взносу в казну, а соответствующие органы публичной власти наделены правомочием в односторонне-властном порядке, путем государственного принуждения взыскивать с лица причитающиеся налоговые суммы (постановления от 14 июля 2005 года № 9- П, от 8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«ИВА»,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